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9A8B1">
      <w:pPr>
        <w:spacing w:line="240" w:lineRule="auto"/>
        <w:rPr>
          <w:sz w:val="20"/>
          <w:szCs w:val="20"/>
        </w:rPr>
      </w:pPr>
      <w:r>
        <w:rPr>
          <w:sz w:val="20"/>
          <w:lang w:bidi="de-DE"/>
        </w:rPr>
        <w:t>Pepco Poland Sp. z o.o.</w:t>
      </w:r>
    </w:p>
    <w:p w14:paraId="60E9A8B2">
      <w:pPr>
        <w:spacing w:line="240" w:lineRule="auto"/>
        <w:rPr>
          <w:sz w:val="20"/>
          <w:szCs w:val="20"/>
        </w:rPr>
      </w:pPr>
      <w:r>
        <w:rPr>
          <w:sz w:val="20"/>
          <w:lang w:bidi="de-DE"/>
        </w:rPr>
        <w:t>ul. Strzeszyńska 73a</w:t>
      </w:r>
    </w:p>
    <w:p w14:paraId="60E9A8B3">
      <w:pPr>
        <w:spacing w:line="240" w:lineRule="auto"/>
        <w:rPr>
          <w:sz w:val="20"/>
          <w:szCs w:val="20"/>
        </w:rPr>
      </w:pPr>
      <w:r>
        <w:rPr>
          <w:sz w:val="20"/>
          <w:lang w:bidi="de-DE"/>
        </w:rPr>
        <w:t>60-479 Poznań</w:t>
      </w:r>
    </w:p>
    <w:p w14:paraId="60E9A8B4">
      <w:pPr>
        <w:jc w:val="center"/>
      </w:pPr>
    </w:p>
    <w:p w14:paraId="60E9A8B5">
      <w:pPr>
        <w:jc w:val="center"/>
      </w:pPr>
      <w:r>
        <w:rPr>
          <w:b/>
          <w:shd w:val="clear" w:color="auto" w:fill="FFFFFF"/>
          <w:lang w:bidi="de-DE"/>
        </w:rPr>
        <w:t>EU-KONFORMITÄTSERKLÄRUNG</w:t>
      </w:r>
      <w:r>
        <w:rPr>
          <w:lang w:bidi="de-DE"/>
        </w:rPr>
        <w:t xml:space="preserve"> (NR.</w:t>
      </w:r>
      <w:r>
        <w:rPr>
          <w:rFonts w:hint="default"/>
          <w:color w:val="000000"/>
          <w:shd w:val="clear" w:color="auto" w:fill="FFFFFF"/>
          <w:lang w:val="en-US" w:eastAsia="zh-CN"/>
        </w:rPr>
        <w:t>62987300</w:t>
      </w:r>
      <w:r>
        <w:rPr>
          <w:rFonts w:hint="eastAsia"/>
          <w:color w:val="000000"/>
          <w:shd w:val="clear" w:color="auto" w:fill="FFFFFF"/>
          <w:lang w:val="en-US" w:eastAsia="zh-CN"/>
        </w:rPr>
        <w:t>1</w:t>
      </w:r>
      <w:r>
        <w:rPr>
          <w:lang w:bidi="de-DE"/>
        </w:rPr>
        <w:t>)</w:t>
      </w:r>
    </w:p>
    <w:p w14:paraId="60E9A8B6">
      <w:pPr>
        <w:jc w:val="center"/>
      </w:pPr>
    </w:p>
    <w:p w14:paraId="60E9A8B7">
      <w:pPr>
        <w:rPr>
          <w:b/>
          <w:bCs/>
        </w:rPr>
      </w:pPr>
      <w:r>
        <w:rPr>
          <w:lang w:bidi="de-DE"/>
        </w:rPr>
        <w:t xml:space="preserve">1. Persönliche Schutzausrüstung (Produkt, Typ, Chargen- oder Seriennummer): </w:t>
      </w:r>
    </w:p>
    <w:p w14:paraId="0A062868">
      <w:pPr>
        <w:pStyle w:val="9"/>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5C7DE9FF">
      <w:pPr>
        <w:jc w:val="center"/>
        <w:rPr>
          <w:b/>
          <w:bCs/>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34DEED6D"/>
    <w:p w14:paraId="60E9A8BB">
      <w:pPr>
        <w:rPr>
          <w:color w:val="000000"/>
          <w:shd w:val="clear" w:color="auto" w:fill="FFFFFF"/>
        </w:rPr>
      </w:pPr>
      <w:r>
        <w:rPr>
          <w:lang w:bidi="de-DE"/>
        </w:rPr>
        <w:t xml:space="preserve">2. </w:t>
      </w:r>
      <w:r>
        <w:rPr>
          <w:shd w:val="clear" w:color="auto" w:fill="FFFFFF"/>
          <w:lang w:bidi="de-DE"/>
        </w:rPr>
        <w:t>Name und Anschrift des Herstellers und ggf. seines bevollmächtigten Vertreters:</w:t>
      </w:r>
    </w:p>
    <w:p w14:paraId="4288685F">
      <w:pPr>
        <w:jc w:val="center"/>
        <w:rPr>
          <w:rFonts w:hint="eastAsia" w:eastAsia="宋体"/>
          <w:b/>
          <w:bCs/>
          <w:lang w:val="en-US" w:eastAsia="zh-CN"/>
        </w:rPr>
      </w:pPr>
      <w:r>
        <w:rPr>
          <w:rFonts w:hint="eastAsia" w:eastAsia="宋体"/>
          <w:b/>
          <w:bCs/>
          <w:lang w:val="en-US" w:eastAsia="zh-CN"/>
        </w:rPr>
        <w:t>Ningbo General Union Co., LTD.</w:t>
      </w:r>
    </w:p>
    <w:p w14:paraId="699AF595">
      <w:pPr>
        <w:jc w:val="center"/>
        <w:rPr>
          <w:rFonts w:hint="default"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44854E2B">
      <w:pPr>
        <w:rPr>
          <w:rFonts w:eastAsia="宋体"/>
          <w:b/>
          <w:bCs/>
          <w:lang w:val="en-US" w:eastAsia="zh-CN"/>
        </w:rPr>
      </w:pPr>
    </w:p>
    <w:p w14:paraId="60E9A8BE">
      <w:pPr>
        <w:rPr>
          <w:color w:val="000000"/>
          <w:shd w:val="clear" w:color="auto" w:fill="FFFFFF"/>
        </w:rPr>
      </w:pPr>
      <w:r>
        <w:rPr>
          <w:lang w:bidi="de-DE"/>
        </w:rPr>
        <w:t xml:space="preserve">3. </w:t>
      </w:r>
      <w:r>
        <w:rPr>
          <w:shd w:val="clear" w:color="auto" w:fill="FFFFFF"/>
          <w:lang w:bidi="de-DE"/>
        </w:rPr>
        <w:t>Diese Konformitätserklärung wird unter der alleinigen Verantwortung des Herstellers ausgestellt:</w:t>
      </w:r>
    </w:p>
    <w:p w14:paraId="7A723876">
      <w:pPr>
        <w:jc w:val="center"/>
        <w:rPr>
          <w:rFonts w:hint="eastAsia" w:eastAsia="宋体"/>
          <w:b/>
          <w:bCs/>
          <w:lang w:val="en-US" w:eastAsia="zh-CN"/>
        </w:rPr>
      </w:pPr>
      <w:r>
        <w:rPr>
          <w:rFonts w:hint="eastAsia" w:eastAsia="宋体"/>
          <w:b/>
          <w:bCs/>
          <w:lang w:val="en-US" w:eastAsia="zh-CN"/>
        </w:rPr>
        <w:t>Ningbo General Union Co., LTD.</w:t>
      </w:r>
    </w:p>
    <w:p w14:paraId="70FD57E2">
      <w:pPr>
        <w:jc w:val="center"/>
        <w:rPr>
          <w:rFonts w:hint="default"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185A3B5D">
      <w:pPr>
        <w:rPr>
          <w:rFonts w:eastAsia="宋体"/>
          <w:b/>
          <w:bCs/>
          <w:lang w:val="en-US" w:eastAsia="zh-CN"/>
        </w:rPr>
      </w:pPr>
    </w:p>
    <w:p w14:paraId="7A6D96E7">
      <w:pPr>
        <w:rPr>
          <w:b/>
          <w:bCs/>
          <w:color w:val="000000"/>
          <w:shd w:val="clear" w:color="auto" w:fill="FFFFFF"/>
          <w:lang w:eastAsia="zh-CN"/>
        </w:rPr>
      </w:pPr>
      <w:r>
        <w:rPr>
          <w:lang w:bidi="de-DE"/>
        </w:rPr>
        <w:t>4. Gegenstand der Erklärung:</w:t>
      </w:r>
    </w:p>
    <w:p w14:paraId="709C802B">
      <w:pPr>
        <w:pStyle w:val="9"/>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6CD2B672">
      <w:pPr>
        <w:jc w:val="center"/>
        <w:rPr>
          <w:b/>
          <w:bCs/>
          <w:color w:val="000000"/>
          <w:shd w:val="clear" w:color="auto" w:fill="FFFFFF"/>
          <w:lang w:eastAsia="zh-CN"/>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7DD16C0F">
      <w:pPr>
        <w:rPr>
          <w:b/>
          <w:bCs/>
        </w:rPr>
      </w:pPr>
    </w:p>
    <w:p w14:paraId="60E9A8C4">
      <w:pPr>
        <w:rPr>
          <w:color w:val="000000"/>
          <w:shd w:val="clear" w:color="auto" w:fill="FFFFFF"/>
        </w:rPr>
      </w:pPr>
      <w:r>
        <w:rPr>
          <w:lang w:bidi="de-DE"/>
        </w:rPr>
        <w:t xml:space="preserve">5. </w:t>
      </w:r>
      <w:r>
        <w:rPr>
          <w:shd w:val="clear" w:color="auto" w:fill="FFFFFF"/>
          <w:lang w:bidi="de-DE"/>
        </w:rPr>
        <w:t>Der Gegenstand der unter Nummer 4 genannten Erklärung steht im Einklang mit den einschlägigen EU-Harmonisierungsrechtsvorschriften:</w:t>
      </w:r>
    </w:p>
    <w:p w14:paraId="60E9A8C5">
      <w:pPr>
        <w:rPr>
          <w:color w:val="000000"/>
          <w:shd w:val="clear" w:color="auto" w:fill="FFFFFF"/>
        </w:rPr>
      </w:pPr>
    </w:p>
    <w:p w14:paraId="60E9A8C6">
      <w:pPr>
        <w:pStyle w:val="9"/>
        <w:numPr>
          <w:ilvl w:val="0"/>
          <w:numId w:val="1"/>
        </w:numPr>
        <w:rPr>
          <w:b/>
        </w:rPr>
      </w:pPr>
      <w:r>
        <w:rPr>
          <w:b/>
          <w:lang w:bidi="de-DE"/>
        </w:rPr>
        <w:t>VERORDNUNG (EU) 2016/425 DES EUROPÄISCHEN PARLAMENTS UND DES RATES vom 9. März 2016 über persönliche Schutzausrüstung und zur Aufhebung der Richtlinie 89/686/EWG des Rates</w:t>
      </w:r>
    </w:p>
    <w:p w14:paraId="60E9A8C7"/>
    <w:p w14:paraId="60E9A8C8">
      <w:r>
        <w:rPr>
          <w:lang w:bidi="de-DE"/>
        </w:rPr>
        <w:t>6.  Verweise auf die einschlägigen harmonisierten Normen, einschließlich des Datums der Norm, oder Verweise auf andere technische Spezifikationen, einschließlich des Datums der Spezifikation, für die die Konformität erklärt wird:</w:t>
      </w:r>
    </w:p>
    <w:p w14:paraId="60E9A8C9"/>
    <w:p w14:paraId="60E9A8CA">
      <w:pPr>
        <w:pStyle w:val="9"/>
        <w:numPr>
          <w:ilvl w:val="0"/>
          <w:numId w:val="2"/>
        </w:numPr>
        <w:jc w:val="both"/>
      </w:pPr>
      <w:r>
        <w:rPr>
          <w:b/>
          <w:lang w:bidi="de-DE"/>
        </w:rPr>
        <w:t>EN 420:2003+A1:2009</w:t>
      </w:r>
      <w:r>
        <w:rPr>
          <w:lang w:bidi="de-DE"/>
        </w:rPr>
        <w:t xml:space="preserve"> Schutzhandschuhe. Allgemeine Anforderungen und Prüfverfahren</w:t>
      </w:r>
    </w:p>
    <w:p w14:paraId="60E9A8CB">
      <w:pPr>
        <w:pStyle w:val="9"/>
        <w:numPr>
          <w:ilvl w:val="0"/>
          <w:numId w:val="2"/>
        </w:numPr>
        <w:jc w:val="both"/>
      </w:pPr>
      <w:r>
        <w:rPr>
          <w:b/>
          <w:lang w:bidi="de-DE"/>
        </w:rPr>
        <w:t>EN 407:2004</w:t>
      </w:r>
      <w:r>
        <w:rPr>
          <w:color w:val="2F2F2F"/>
          <w:sz w:val="18"/>
          <w:shd w:val="clear" w:color="auto" w:fill="FFFFFF"/>
          <w:lang w:bidi="de-DE"/>
        </w:rPr>
        <w:t xml:space="preserve"> </w:t>
      </w:r>
      <w:r>
        <w:rPr>
          <w:lang w:bidi="de-DE"/>
        </w:rPr>
        <w:t xml:space="preserve"> Schutzhandschuhe gegen thermische Risiken (Hitze und/oder Feuer)</w:t>
      </w:r>
    </w:p>
    <w:p w14:paraId="60E9A8CC">
      <w:pPr>
        <w:jc w:val="both"/>
        <w:rPr>
          <w:b/>
          <w:color w:val="000000"/>
          <w:shd w:val="clear" w:color="auto" w:fill="FFFFFF"/>
        </w:rPr>
      </w:pPr>
      <w:r>
        <w:rPr>
          <w:lang w:bidi="de-DE"/>
        </w:rPr>
        <w:t xml:space="preserve">7. Falls zutreffend, hat die benannte Stelle </w:t>
      </w:r>
      <w:r>
        <w:rPr>
          <w:shd w:val="clear" w:color="auto" w:fill="FFFFFF"/>
          <w:lang w:bidi="de-DE"/>
        </w:rPr>
        <w:t>.....</w:t>
      </w:r>
      <w:r>
        <w:rPr>
          <w:rFonts w:hint="eastAsia"/>
          <w:shd w:val="clear" w:color="auto" w:fill="FFFFFF"/>
          <w:lang w:bidi="en-GB"/>
        </w:rPr>
        <w:t>TÜV SÜD DANMARK ApS</w:t>
      </w:r>
      <w:r>
        <w:rPr>
          <w:shd w:val="clear" w:color="auto" w:fill="FFFFFF"/>
          <w:lang w:bidi="de-DE"/>
        </w:rPr>
        <w:t>......</w:t>
      </w:r>
      <w:r>
        <w:rPr>
          <w:lang w:bidi="de-DE"/>
        </w:rPr>
        <w:t xml:space="preserve"> die EU-Baumusterprüfung (Modul B) durchgeführt und die EU-Baumusterprüfbescheinigung ausgestellt .......</w:t>
      </w:r>
      <w:r>
        <w:rPr>
          <w:rFonts w:hint="eastAsia"/>
          <w:lang w:bidi="en-GB"/>
        </w:rPr>
        <w:t>DK-PPE001644 i01</w:t>
      </w:r>
      <w:r>
        <w:rPr>
          <w:lang w:bidi="de-DE"/>
        </w:rPr>
        <w:t>........</w:t>
      </w:r>
    </w:p>
    <w:p w14:paraId="60E9A8CD">
      <w:pPr>
        <w:jc w:val="both"/>
      </w:pPr>
      <w:r>
        <w:rPr>
          <w:lang w:bidi="de-DE"/>
        </w:rPr>
        <w:t xml:space="preserve">8. Gegebenenfalls müssen die PSA einem Konformitätsbewertungsverfahren unterzogen werden ... (entweder Konformität mit der Bauart auf der Grundlage einer internen Fertigungskontrolle und überwachter Produktprüfungen in unregelmäßigen Abständen (Modul C2) oder Konformität mit der Bauart auf der Grundlage einer Qualitätssicherung des Produktionsprozesses (Modul D)). ... unter der Überwachung der benannten Stelle ... (Name, Nummer): </w:t>
      </w:r>
      <w:r>
        <w:rPr>
          <w:b/>
          <w:shd w:val="clear" w:color="auto" w:fill="FFFFFF"/>
          <w:lang w:bidi="de-DE"/>
        </w:rPr>
        <w:t>nicht zutreffend</w:t>
      </w:r>
    </w:p>
    <w:p w14:paraId="60E9A8CE">
      <w:pPr>
        <w:jc w:val="both"/>
        <w:rPr>
          <w:b/>
          <w:color w:val="000000"/>
          <w:shd w:val="clear" w:color="auto" w:fill="FFFFFF"/>
        </w:rPr>
      </w:pPr>
      <w:r>
        <w:rPr>
          <w:lang w:bidi="de-DE"/>
        </w:rPr>
        <w:t xml:space="preserve">9. Zusätzliche Informationen: </w:t>
      </w:r>
      <w:r>
        <w:rPr>
          <w:b/>
          <w:shd w:val="clear" w:color="auto" w:fill="FFFFFF"/>
          <w:lang w:bidi="de-DE"/>
        </w:rPr>
        <w:t>nicht zutreffend</w:t>
      </w:r>
    </w:p>
    <w:p w14:paraId="60E9A8CF"/>
    <w:p w14:paraId="60E9A8D2">
      <w:pPr>
        <w:rPr>
          <w:b/>
        </w:rPr>
      </w:pPr>
      <w:r>
        <w:rPr>
          <w:shd w:val="clear" w:color="auto" w:fill="FFFFFF"/>
          <w:lang w:bidi="de-DE"/>
        </w:rPr>
        <w:t>Unterzeichnet für und im Namen von:</w:t>
      </w:r>
      <w:r>
        <w:rPr>
          <w:lang w:bidi="de-DE"/>
        </w:rPr>
        <w:t xml:space="preserve"> </w:t>
      </w:r>
      <w:r>
        <w:rPr>
          <w:rFonts w:hint="eastAsia"/>
          <w:lang w:bidi="en-GB"/>
        </w:rPr>
        <w:t>Ningbo General Union Co., LTD.</w:t>
      </w:r>
    </w:p>
    <w:p w14:paraId="60E9A8D3"/>
    <w:p w14:paraId="60E9A8D8">
      <w:pPr>
        <w:rPr>
          <w:lang w:val="it-IT"/>
        </w:rPr>
      </w:pPr>
      <w:r>
        <w:rPr>
          <w:lang w:bidi="de-DE"/>
        </w:rPr>
        <w:t>Datum, Hersteller</w:t>
      </w:r>
    </w:p>
    <w:p w14:paraId="7AEFCF24">
      <w:pPr>
        <w:rPr>
          <w:rFonts w:hint="default" w:eastAsia="宋体"/>
          <w:lang w:val="en-US" w:eastAsia="zh-CN"/>
        </w:rPr>
      </w:pPr>
      <w:r>
        <w:rPr>
          <w:rFonts w:hint="eastAsia" w:eastAsia="宋体"/>
          <w:rtl w:val="0"/>
          <w:lang w:val="en-US" w:eastAsia="zh-CN"/>
        </w:rPr>
        <w:t>Ningbo</w:t>
      </w:r>
      <w:r>
        <w:rPr>
          <w:rtl w:val="0"/>
        </w:rPr>
        <w:t xml:space="preserve">, </w:t>
      </w:r>
      <w:r>
        <w:rPr>
          <w:rFonts w:hint="eastAsia" w:eastAsia="宋体"/>
          <w:rtl w:val="0"/>
          <w:lang w:val="en-US" w:eastAsia="zh-CN"/>
        </w:rPr>
        <w:t>12/11/2025</w:t>
      </w:r>
    </w:p>
    <w:p w14:paraId="3D3A1600">
      <w:pPr>
        <w:rPr>
          <w:rFonts w:hint="eastAsia" w:eastAsia="宋体"/>
          <w:lang w:eastAsia="zh-CN"/>
        </w:rPr>
      </w:pPr>
      <w:r>
        <w:rPr>
          <w:rFonts w:hint="eastAsia" w:eastAsia="宋体"/>
          <w:lang w:eastAsia="zh-CN"/>
        </w:rPr>
        <w:drawing>
          <wp:inline distT="0" distB="0" distL="114300" distR="114300">
            <wp:extent cx="1719580" cy="753110"/>
            <wp:effectExtent l="0" t="0" r="0" b="0"/>
            <wp:docPr id="1" name="图片 1" descr="]4$U]H]9O5[{(ECYR6JWC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U]H]9O5[{(ECYR6JWC4G"/>
                    <pic:cNvPicPr>
                      <a:picLocks noChangeAspect="1"/>
                    </pic:cNvPicPr>
                  </pic:nvPicPr>
                  <pic:blipFill>
                    <a:blip r:embed="rId11"/>
                    <a:stretch>
                      <a:fillRect/>
                    </a:stretch>
                  </pic:blipFill>
                  <pic:spPr>
                    <a:xfrm>
                      <a:off x="0" y="0"/>
                      <a:ext cx="1719580" cy="753110"/>
                    </a:xfrm>
                    <a:prstGeom prst="rect">
                      <a:avLst/>
                    </a:prstGeom>
                  </pic:spPr>
                </pic:pic>
              </a:graphicData>
            </a:graphic>
          </wp:inline>
        </w:drawing>
      </w:r>
    </w:p>
    <w:p w14:paraId="1B479257">
      <w:pPr>
        <w:rPr>
          <w:rFonts w:hint="default" w:eastAsia="宋体"/>
          <w:lang w:val="en-US" w:eastAsia="zh-CN"/>
        </w:rPr>
      </w:pPr>
      <w:r>
        <w:rPr>
          <w:rFonts w:hint="eastAsia" w:eastAsia="宋体"/>
          <w:rtl w:val="0"/>
          <w:lang w:val="en-US" w:eastAsia="zh-CN"/>
        </w:rPr>
        <w:t>Jeff Luo</w:t>
      </w:r>
    </w:p>
    <w:p w14:paraId="5CFEFE84">
      <w:pPr>
        <w:rPr>
          <w:rFonts w:hint="default" w:eastAsia="宋体"/>
          <w:rtl w:val="0"/>
          <w:lang w:val="en-US" w:eastAsia="zh-CN"/>
        </w:rPr>
      </w:pPr>
      <w:r>
        <w:rPr>
          <w:rFonts w:hint="eastAsia" w:eastAsia="宋体"/>
          <w:rtl w:val="0"/>
          <w:lang w:val="en-US" w:eastAsia="zh-CN"/>
        </w:rPr>
        <w:t>General Manager</w:t>
      </w:r>
    </w:p>
    <w:p w14:paraId="4CB46BBC">
      <w:pPr>
        <w:rPr>
          <w:lang w:val="it-IT"/>
        </w:rPr>
      </w:pPr>
    </w:p>
    <w:p w14:paraId="50FDCB88">
      <w:pPr>
        <w:rPr>
          <w:lang w:val="it-IT"/>
        </w:rPr>
      </w:pPr>
      <w:bookmarkStart w:id="0" w:name="_GoBack"/>
      <w:bookmarkEnd w:id="0"/>
    </w:p>
    <w:p w14:paraId="60E9A8DA">
      <w:pPr>
        <w:rPr>
          <w:lang w:val="it-IT"/>
        </w:rPr>
      </w:pPr>
    </w:p>
    <w:p w14:paraId="60E9A8DB">
      <w:pPr>
        <w:rPr>
          <w:lang w:val="it-IT"/>
        </w:rPr>
      </w:pPr>
    </w:p>
    <w:p w14:paraId="60E9A8DC">
      <w:pPr>
        <w:rPr>
          <w:lang w:val="it-IT"/>
        </w:rPr>
      </w:pPr>
    </w:p>
    <w:sectPr>
      <w:headerReference r:id="rId7" w:type="first"/>
      <w:footerReference r:id="rId9" w:type="first"/>
      <w:headerReference r:id="rId5" w:type="default"/>
      <w:headerReference r:id="rId6" w:type="even"/>
      <w:footerReference r:id="rId8"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D2B4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99B14">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9A8E4">
    <w:pPr>
      <w:pStyle w:val="4"/>
    </w:pPr>
    <w:r>
      <w:drawing>
        <wp:inline distT="0" distB="0" distL="0" distR="0">
          <wp:extent cx="1571625" cy="533400"/>
          <wp:effectExtent l="0" t="0" r="9525" b="0"/>
          <wp:docPr id="1124824039" name="Obraz 1" descr="Obraz zawierający Czcionka, Grafika, logo,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24039" name="Obraz 1" descr="Obraz zawierający Czcionka, Grafika, logo, Jaskrawoniebieski&#10;&#10;Opis wygenerowany automatycznie"/>
                  <pic:cNvPicPr>
                    <a:picLocks noChangeAspect="1"/>
                  </pic:cNvPicPr>
                </pic:nvPicPr>
                <pic:blipFill>
                  <a:blip r:embed="rId1"/>
                  <a:stretch>
                    <a:fillRect/>
                  </a:stretch>
                </pic:blipFill>
                <pic:spPr>
                  <a:xfrm>
                    <a:off x="0" y="0"/>
                    <a:ext cx="1571625" cy="5334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15DDD">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E1891">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D4A53"/>
    <w:multiLevelType w:val="multilevel"/>
    <w:tmpl w:val="36AD4A5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CEE7997"/>
    <w:multiLevelType w:val="multilevel"/>
    <w:tmpl w:val="7CEE799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zYTFjZjQ3OTc5NzM2MzZhNjQ3ZmZmZWI0YjA5YTYifQ=="/>
  </w:docVars>
  <w:rsids>
    <w:rsidRoot w:val="00F0556F"/>
    <w:rsid w:val="000E1839"/>
    <w:rsid w:val="00165360"/>
    <w:rsid w:val="00184522"/>
    <w:rsid w:val="001947D0"/>
    <w:rsid w:val="001A0AB6"/>
    <w:rsid w:val="001E6EFF"/>
    <w:rsid w:val="001F2D41"/>
    <w:rsid w:val="002523A0"/>
    <w:rsid w:val="00282497"/>
    <w:rsid w:val="002C46A2"/>
    <w:rsid w:val="002C4D02"/>
    <w:rsid w:val="002C5E18"/>
    <w:rsid w:val="002E2709"/>
    <w:rsid w:val="002F7AF6"/>
    <w:rsid w:val="004013F8"/>
    <w:rsid w:val="00415A8B"/>
    <w:rsid w:val="004D764B"/>
    <w:rsid w:val="00515AA4"/>
    <w:rsid w:val="00523069"/>
    <w:rsid w:val="005C27D8"/>
    <w:rsid w:val="00607786"/>
    <w:rsid w:val="0062305A"/>
    <w:rsid w:val="00636A36"/>
    <w:rsid w:val="006D4E5A"/>
    <w:rsid w:val="006F67B6"/>
    <w:rsid w:val="00817EF6"/>
    <w:rsid w:val="0085749F"/>
    <w:rsid w:val="008F6220"/>
    <w:rsid w:val="00904093"/>
    <w:rsid w:val="00A33FC3"/>
    <w:rsid w:val="00A502D8"/>
    <w:rsid w:val="00A701F4"/>
    <w:rsid w:val="00AF2478"/>
    <w:rsid w:val="00B64158"/>
    <w:rsid w:val="00B91811"/>
    <w:rsid w:val="00BC584A"/>
    <w:rsid w:val="00C01BBD"/>
    <w:rsid w:val="00C4220D"/>
    <w:rsid w:val="00CA4750"/>
    <w:rsid w:val="00CF6CB3"/>
    <w:rsid w:val="00D23C5D"/>
    <w:rsid w:val="00D2462F"/>
    <w:rsid w:val="00DC71CE"/>
    <w:rsid w:val="00E62E88"/>
    <w:rsid w:val="00EB444F"/>
    <w:rsid w:val="00EC6189"/>
    <w:rsid w:val="00F0556F"/>
    <w:rsid w:val="00F4484F"/>
    <w:rsid w:val="00FA6BE8"/>
    <w:rsid w:val="00FE7FFA"/>
    <w:rsid w:val="2DCC4D81"/>
    <w:rsid w:val="2E4E18AB"/>
    <w:rsid w:val="3DB70E50"/>
    <w:rsid w:val="44C60B7A"/>
    <w:rsid w:val="4E295BCB"/>
    <w:rsid w:val="625B0F6C"/>
    <w:rsid w:val="62BA50D9"/>
    <w:rsid w:val="70C7326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de-DE"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line="240" w:lineRule="auto"/>
    </w:pPr>
    <w:rPr>
      <w:rFonts w:ascii="Tahoma" w:hAnsi="Tahoma" w:cs="Tahoma"/>
      <w:sz w:val="16"/>
      <w:szCs w:val="16"/>
    </w:rPr>
  </w:style>
  <w:style w:type="paragraph" w:styleId="3">
    <w:name w:val="footer"/>
    <w:basedOn w:val="1"/>
    <w:link w:val="8"/>
    <w:unhideWhenUsed/>
    <w:qFormat/>
    <w:uiPriority w:val="99"/>
    <w:pPr>
      <w:tabs>
        <w:tab w:val="center" w:pos="4536"/>
        <w:tab w:val="right" w:pos="9072"/>
      </w:tabs>
      <w:spacing w:after="0" w:line="240" w:lineRule="auto"/>
    </w:pPr>
  </w:style>
  <w:style w:type="paragraph" w:styleId="4">
    <w:name w:val="header"/>
    <w:basedOn w:val="1"/>
    <w:link w:val="7"/>
    <w:unhideWhenUsed/>
    <w:qFormat/>
    <w:uiPriority w:val="99"/>
    <w:pPr>
      <w:tabs>
        <w:tab w:val="center" w:pos="4536"/>
        <w:tab w:val="right" w:pos="9072"/>
      </w:tabs>
      <w:spacing w:after="0" w:line="240" w:lineRule="auto"/>
    </w:pPr>
  </w:style>
  <w:style w:type="character" w:customStyle="1" w:styleId="7">
    <w:name w:val="Nagłówek Znak"/>
    <w:basedOn w:val="6"/>
    <w:link w:val="4"/>
    <w:qFormat/>
    <w:uiPriority w:val="99"/>
  </w:style>
  <w:style w:type="character" w:customStyle="1" w:styleId="8">
    <w:name w:val="Stopka Znak"/>
    <w:basedOn w:val="6"/>
    <w:link w:val="3"/>
    <w:qFormat/>
    <w:uiPriority w:val="99"/>
  </w:style>
  <w:style w:type="paragraph" w:styleId="9">
    <w:name w:val="List Paragraph"/>
    <w:basedOn w:val="1"/>
    <w:qFormat/>
    <w:uiPriority w:val="34"/>
    <w:pPr>
      <w:ind w:left="720"/>
      <w:contextualSpacing/>
    </w:pPr>
  </w:style>
  <w:style w:type="character" w:customStyle="1" w:styleId="10">
    <w:name w:val="Tekst dymka Znak"/>
    <w:basedOn w:val="6"/>
    <w:link w:val="2"/>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2.GI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bb28c6-3855-4a81-8961-ca2e59a67266" xsi:nil="true"/>
    <lcf76f155ced4ddcb4097134ff3c332f xmlns="f2d96f23-893d-4800-96bf-30d99ab882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D1EBA0ED140A48A2B19F92EDC86CE7" ma:contentTypeVersion="13" ma:contentTypeDescription="Create a new document." ma:contentTypeScope="" ma:versionID="28225fbfe56f7b6cefc4a0cada7c9c53">
  <xsd:schema xmlns:xsd="http://www.w3.org/2001/XMLSchema" xmlns:xs="http://www.w3.org/2001/XMLSchema" xmlns:p="http://schemas.microsoft.com/office/2006/metadata/properties" xmlns:ns2="f2d96f23-893d-4800-96bf-30d99ab88231" xmlns:ns3="18bb28c6-3855-4a81-8961-ca2e59a67266" targetNamespace="http://schemas.microsoft.com/office/2006/metadata/properties" ma:root="true" ma:fieldsID="f14a80ac38f5d4d0b972c4ca9468ffb4" ns2:_="" ns3:_="">
    <xsd:import namespace="f2d96f23-893d-4800-96bf-30d99ab88231"/>
    <xsd:import namespace="18bb28c6-3855-4a81-8961-ca2e59a672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96f23-893d-4800-96bf-30d99ab88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ceba3b3-796e-4f73-a16f-4b19468571a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bb28c6-3855-4a81-8961-ca2e59a672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6dc58fa4-acd5-40b5-8938-b0e20d7d4975}" ma:internalName="TaxCatchAll" ma:showField="CatchAllData" ma:web="18bb28c6-3855-4a81-8961-ca2e59a672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0AECA-179F-475A-96C9-C265F6C53DA0}">
  <ds:schemaRefs/>
</ds:datastoreItem>
</file>

<file path=customXml/itemProps2.xml><?xml version="1.0" encoding="utf-8"?>
<ds:datastoreItem xmlns:ds="http://schemas.openxmlformats.org/officeDocument/2006/customXml" ds:itemID="{66AE33E6-79B8-4B84-813E-2B5C5D1DDB73}">
  <ds:schemaRefs/>
</ds:datastoreItem>
</file>

<file path=customXml/itemProps3.xml><?xml version="1.0" encoding="utf-8"?>
<ds:datastoreItem xmlns:ds="http://schemas.openxmlformats.org/officeDocument/2006/customXml" ds:itemID="{5780B3A4-0D8D-430A-8905-DDFB6D71A387}">
  <ds:schemaRefs/>
</ds:datastoreItem>
</file>

<file path=docProps/app.xml><?xml version="1.0" encoding="utf-8"?>
<Properties xmlns="http://schemas.openxmlformats.org/officeDocument/2006/extended-properties" xmlns:vt="http://schemas.openxmlformats.org/officeDocument/2006/docPropsVTypes">
  <Template>Normal.dotm</Template>
  <Company>PEPCO</Company>
  <Pages>2</Pages>
  <Words>217</Words>
  <Characters>1620</Characters>
  <Lines>13</Lines>
  <Paragraphs>3</Paragraphs>
  <TotalTime>0</TotalTime>
  <ScaleCrop>false</ScaleCrop>
  <LinksUpToDate>false</LinksUpToDate>
  <CharactersWithSpaces>1823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2025-03-20T15:05:00Z</dcterms:created>
  <dc:creator>Anna Wróblewska</dc:creator>
  <cp:lastModifiedBy>CCC.</cp:lastModifiedBy>
  <dcterms:modified xsi:type="dcterms:W3CDTF">2025-11-21T03:09:12Z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E0ED3071E7FE4F5CADF0388A8C339DE8_13</vt:lpwstr>
  </property>
  <property fmtid="{D5CDD505-2E9C-101B-9397-08002B2CF9AE}" pid="4" name="ContentTypeId">
    <vt:lpwstr>0x01010024D1EBA0ED140A48A2B19F92EDC86CE7</vt:lpwstr>
  </property>
  <property fmtid="{D5CDD505-2E9C-101B-9397-08002B2CF9AE}" pid="5" name="KSOTemplateDocerSaveRecord">
    <vt:lpwstr>eyJoZGlkIjoiMDMwNDI4ZWI2NjNmN2MzMjFhODllYTI0NGU2MjI3M2YiLCJ1c2VySWQiOiI2OTY5Njg0OTYifQ==</vt:lpwstr>
  </property>
</Properties>
</file>